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D27" w:rsidRDefault="004A4D27">
      <w:r>
        <w:t xml:space="preserve"> </w:t>
      </w:r>
    </w:p>
    <w:p w:rsidR="004A4D27" w:rsidRDefault="004A4D27" w:rsidP="00F107B5"/>
    <w:p w:rsidR="004A4D27" w:rsidRPr="000A119E" w:rsidRDefault="004A4D27" w:rsidP="00F107B5">
      <w:pPr>
        <w:ind w:left="708" w:firstLine="708"/>
        <w:rPr>
          <w:b/>
        </w:rPr>
      </w:pPr>
      <w:r>
        <w:rPr>
          <w:b/>
        </w:rPr>
        <w:t>INDICE DE DESIGUALDAD DE GÉ</w:t>
      </w:r>
      <w:r w:rsidRPr="000A119E">
        <w:rPr>
          <w:b/>
        </w:rPr>
        <w:t xml:space="preserve">NERO EN LA CIUDAD DE MADRID </w:t>
      </w:r>
    </w:p>
    <w:p w:rsidR="004A4D27" w:rsidRPr="000A119E" w:rsidRDefault="004A4D27" w:rsidP="00F107B5">
      <w:pPr>
        <w:ind w:left="2832" w:firstLine="708"/>
        <w:rPr>
          <w:b/>
        </w:rPr>
      </w:pPr>
      <w:r w:rsidRPr="000A119E">
        <w:rPr>
          <w:b/>
        </w:rPr>
        <w:t>2005-2018.</w:t>
      </w:r>
    </w:p>
    <w:p w:rsidR="004A4D27" w:rsidRPr="000A119E" w:rsidRDefault="004A4D27" w:rsidP="00F107B5">
      <w:pPr>
        <w:rPr>
          <w:b/>
        </w:rPr>
      </w:pPr>
    </w:p>
    <w:p w:rsidR="004A4D27" w:rsidRDefault="004A4D27" w:rsidP="00F107B5">
      <w:pPr>
        <w:ind w:left="2124" w:firstLine="708"/>
      </w:pPr>
      <w:r w:rsidRPr="000A119E">
        <w:rPr>
          <w:b/>
        </w:rPr>
        <w:t>EVOLUCIÓN EN EL ÚLTIMO AÑO</w:t>
      </w:r>
      <w:r>
        <w:t xml:space="preserve">. </w:t>
      </w:r>
    </w:p>
    <w:p w:rsidR="004A4D27" w:rsidRDefault="004A4D27" w:rsidP="00F107B5"/>
    <w:p w:rsidR="004A4D27" w:rsidRDefault="004A4D27" w:rsidP="00F107B5">
      <w:pPr>
        <w:jc w:val="both"/>
      </w:pPr>
      <w:r>
        <w:t>La elaboración del Índice de Desigualdad de Género en la ciudad de Madrid es un instrumento de mejora del conocimiento de la evolución de la relación entre hombres y mujeres hacia una situación más o menos desfavorable en materia de discriminación.</w:t>
      </w:r>
    </w:p>
    <w:p w:rsidR="004A4D27" w:rsidRDefault="004A4D27" w:rsidP="00F107B5">
      <w:pPr>
        <w:jc w:val="both"/>
      </w:pPr>
      <w:r>
        <w:t>Mediante un sistema de indicadores desagregados por sexo y variables socioeconómicas, se elaboran unos índices con los que medir las diferencias de género en los ámbitos de estudio determinados, para finalmente darnos un índice sintético que agrupe y sume todos los anteriores y permita apreciar la comparación en un doble plano:</w:t>
      </w:r>
    </w:p>
    <w:p w:rsidR="004A4D27" w:rsidRDefault="004A4D27" w:rsidP="00F107B5">
      <w:pPr>
        <w:numPr>
          <w:ilvl w:val="0"/>
          <w:numId w:val="1"/>
        </w:numPr>
        <w:spacing w:after="0" w:line="240" w:lineRule="auto"/>
        <w:jc w:val="both"/>
      </w:pPr>
      <w:r>
        <w:t>En cada uno de los cinco ámbitos utilizados (Educación, Trabajo Remunerado, Ingresos económicos,  Toma de decisiones, Trabajo no remunerado).</w:t>
      </w:r>
    </w:p>
    <w:p w:rsidR="004A4D27" w:rsidRDefault="004A4D27" w:rsidP="00F107B5">
      <w:pPr>
        <w:numPr>
          <w:ilvl w:val="0"/>
          <w:numId w:val="1"/>
        </w:numPr>
        <w:spacing w:after="0" w:line="240" w:lineRule="auto"/>
        <w:jc w:val="both"/>
      </w:pPr>
      <w:r>
        <w:t>En referencia al total nacional de España para tener una perspectiva comparativa</w:t>
      </w:r>
    </w:p>
    <w:p w:rsidR="004A4D27" w:rsidRDefault="004A4D27" w:rsidP="00F107B5">
      <w:pPr>
        <w:numPr>
          <w:ilvl w:val="0"/>
          <w:numId w:val="1"/>
        </w:numPr>
        <w:spacing w:after="0" w:line="240" w:lineRule="auto"/>
        <w:jc w:val="both"/>
      </w:pPr>
      <w:r>
        <w:t xml:space="preserve">La igualdad vendría representada por el </w:t>
      </w:r>
      <w:r w:rsidRPr="002C5AB8">
        <w:rPr>
          <w:u w:val="single"/>
        </w:rPr>
        <w:t>valor 1</w:t>
      </w:r>
      <w:r>
        <w:t xml:space="preserve"> del índice; valores </w:t>
      </w:r>
      <w:r w:rsidRPr="002C5AB8">
        <w:rPr>
          <w:u w:val="single"/>
        </w:rPr>
        <w:t>por debajo de 1 indican desigualdad</w:t>
      </w:r>
      <w:r>
        <w:t xml:space="preserve"> a favor del </w:t>
      </w:r>
      <w:r w:rsidRPr="002C5AB8">
        <w:rPr>
          <w:u w:val="single"/>
        </w:rPr>
        <w:t xml:space="preserve">hombre </w:t>
      </w:r>
      <w:r>
        <w:t xml:space="preserve">y valores </w:t>
      </w:r>
      <w:r w:rsidRPr="002C5AB8">
        <w:rPr>
          <w:u w:val="single"/>
        </w:rPr>
        <w:t>por encima de 1 desigualdad</w:t>
      </w:r>
      <w:r>
        <w:t xml:space="preserve"> a favor de </w:t>
      </w:r>
      <w:r w:rsidRPr="002C5AB8">
        <w:rPr>
          <w:u w:val="single"/>
        </w:rPr>
        <w:t>la mujer</w:t>
      </w:r>
      <w:r>
        <w:t>.</w:t>
      </w:r>
    </w:p>
    <w:p w:rsidR="004A4D27" w:rsidRDefault="004A4D27" w:rsidP="00F107B5">
      <w:pPr>
        <w:ind w:left="360"/>
        <w:jc w:val="both"/>
      </w:pPr>
    </w:p>
    <w:p w:rsidR="004A4D27" w:rsidRDefault="004A4D27" w:rsidP="00F107B5">
      <w:pPr>
        <w:jc w:val="both"/>
      </w:pPr>
      <w:r>
        <w:t>A modo de síntesis del índice para el año 2018 señalar:</w:t>
      </w:r>
    </w:p>
    <w:p w:rsidR="004A4D27" w:rsidRDefault="004A4D27" w:rsidP="00F107B5">
      <w:pPr>
        <w:numPr>
          <w:ilvl w:val="0"/>
          <w:numId w:val="2"/>
        </w:numPr>
        <w:spacing w:after="0" w:line="240" w:lineRule="auto"/>
        <w:jc w:val="both"/>
      </w:pPr>
      <w:r>
        <w:t xml:space="preserve">Se aprecia  un incremento en la mejora de la igualdad que aminora las brechas entre hombres y mujeres analizadas. </w:t>
      </w:r>
    </w:p>
    <w:p w:rsidR="004A4D27" w:rsidRDefault="004A4D27" w:rsidP="00F107B5">
      <w:pPr>
        <w:numPr>
          <w:ilvl w:val="0"/>
          <w:numId w:val="2"/>
        </w:numPr>
        <w:spacing w:after="0" w:line="240" w:lineRule="auto"/>
        <w:jc w:val="both"/>
      </w:pPr>
      <w:r>
        <w:t>Esa minoración de la desigualdad de género se produce tanto en la ciudad de Madrid como en el conjunto de España, si bien con mayor intensidad en la ciudad madrileña.</w:t>
      </w:r>
    </w:p>
    <w:p w:rsidR="004A4D27" w:rsidRDefault="004A4D27" w:rsidP="00F107B5">
      <w:pPr>
        <w:numPr>
          <w:ilvl w:val="0"/>
          <w:numId w:val="2"/>
        </w:numPr>
        <w:spacing w:after="0" w:line="240" w:lineRule="auto"/>
        <w:jc w:val="both"/>
      </w:pPr>
      <w:r>
        <w:t>Madrid presenta una trayectoria ascendente y sostenida en la reducción de desigualdades desde 2011, salvo la inflexión que se aprecia en el año 2016.</w:t>
      </w:r>
    </w:p>
    <w:p w:rsidR="004A4D27" w:rsidRDefault="004A4D27" w:rsidP="00F107B5">
      <w:pPr>
        <w:numPr>
          <w:ilvl w:val="0"/>
          <w:numId w:val="2"/>
        </w:numPr>
        <w:spacing w:after="0" w:line="240" w:lineRule="auto"/>
        <w:jc w:val="both"/>
      </w:pPr>
      <w:r>
        <w:t>La evolución para España es de mejora en la secuencia temporal estudiada y una paulatina similitud con Madrid.</w:t>
      </w:r>
    </w:p>
    <w:p w:rsidR="004A4D27" w:rsidRDefault="004A4D27" w:rsidP="00F107B5">
      <w:pPr>
        <w:numPr>
          <w:ilvl w:val="0"/>
          <w:numId w:val="2"/>
        </w:numPr>
        <w:spacing w:after="0" w:line="240" w:lineRule="auto"/>
        <w:jc w:val="both"/>
      </w:pPr>
      <w:r>
        <w:t>En la ciudad de Madrid los ámbitos de mejora son: educación, ingresos, toma de decisiones y trabajo no remunerado. Mientras que el trabajo remunerado muestra una línea descendente desde 2105.</w:t>
      </w:r>
    </w:p>
    <w:p w:rsidR="004A4D27" w:rsidRDefault="004A4D27" w:rsidP="00F107B5">
      <w:pPr>
        <w:numPr>
          <w:ilvl w:val="0"/>
          <w:numId w:val="2"/>
        </w:numPr>
        <w:spacing w:after="0" w:line="240" w:lineRule="auto"/>
        <w:jc w:val="both"/>
      </w:pPr>
      <w:r>
        <w:t>En España, educación, toma de decisiones y trabajo no remunerado mejoran  y descienden trabajo remunerado ( desde 2016) e ingresos.</w:t>
      </w:r>
    </w:p>
    <w:p w:rsidR="004A4D27" w:rsidRDefault="004A4D27" w:rsidP="00F107B5">
      <w:pPr>
        <w:ind w:left="360"/>
        <w:jc w:val="both"/>
      </w:pP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r>
        <w:t xml:space="preserve">El índice de desigualdad de género para </w:t>
      </w:r>
      <w:r w:rsidRPr="009E0A4A">
        <w:rPr>
          <w:b/>
        </w:rPr>
        <w:t>Madrid</w:t>
      </w:r>
      <w:r>
        <w:t xml:space="preserve"> en 2018 alcanza a ser </w:t>
      </w:r>
      <w:r w:rsidRPr="009E0A4A">
        <w:rPr>
          <w:b/>
        </w:rPr>
        <w:t>0,8</w:t>
      </w:r>
      <w:r>
        <w:rPr>
          <w:b/>
        </w:rPr>
        <w:t>3</w:t>
      </w:r>
      <w:r>
        <w:t xml:space="preserve">, manteniendo una línea continuada y sostenida de mejora en la igualdad. </w:t>
      </w:r>
    </w:p>
    <w:p w:rsidR="004A4D27" w:rsidRDefault="004A4D27" w:rsidP="00F107B5">
      <w:pPr>
        <w:jc w:val="both"/>
      </w:pPr>
    </w:p>
    <w:p w:rsidR="004A4D27" w:rsidRPr="00AB571C" w:rsidRDefault="004A4D27" w:rsidP="00F107B5">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35.5pt;height:130.5pt">
            <v:imagedata r:id="rId7" o:title=""/>
          </v:shape>
        </w:pict>
      </w:r>
    </w:p>
    <w:p w:rsidR="004A4D27" w:rsidRDefault="004A4D27" w:rsidP="00F107B5">
      <w:pPr>
        <w:jc w:val="both"/>
      </w:pPr>
    </w:p>
    <w:p w:rsidR="004A4D27" w:rsidRDefault="004A4D27" w:rsidP="00F107B5">
      <w:pPr>
        <w:jc w:val="both"/>
      </w:pPr>
      <w:r>
        <w:t xml:space="preserve">Para </w:t>
      </w:r>
      <w:r w:rsidRPr="009E0A4A">
        <w:rPr>
          <w:b/>
        </w:rPr>
        <w:t>España</w:t>
      </w:r>
      <w:r>
        <w:t xml:space="preserve"> el índice es ligeramente inferior, </w:t>
      </w:r>
      <w:r w:rsidRPr="009E0A4A">
        <w:rPr>
          <w:b/>
        </w:rPr>
        <w:t>0,80</w:t>
      </w:r>
      <w:r>
        <w:rPr>
          <w:b/>
        </w:rPr>
        <w:t xml:space="preserve"> </w:t>
      </w:r>
      <w:r w:rsidRPr="009E0A4A">
        <w:t xml:space="preserve">y mantiene una pauta </w:t>
      </w:r>
      <w:r>
        <w:t>de menor desigualdad</w:t>
      </w:r>
      <w:r w:rsidRPr="007B1E1C">
        <w:t xml:space="preserve"> </w:t>
      </w:r>
      <w:r>
        <w:t xml:space="preserve">entre mujeres y hombres, </w:t>
      </w:r>
      <w:r w:rsidRPr="009E0A4A">
        <w:t>más ralentizada pero</w:t>
      </w:r>
      <w:r>
        <w:t xml:space="preserve"> continua.</w:t>
      </w:r>
    </w:p>
    <w:p w:rsidR="004A4D27" w:rsidRDefault="004A4D27" w:rsidP="00F107B5">
      <w:pPr>
        <w:jc w:val="both"/>
      </w:pPr>
    </w:p>
    <w:p w:rsidR="004A4D27" w:rsidRPr="00AB571C" w:rsidRDefault="004A4D27" w:rsidP="00F107B5">
      <w:pPr>
        <w:jc w:val="both"/>
      </w:pPr>
      <w:r>
        <w:pict>
          <v:shape id="_x0000_i1028" type="#_x0000_t75" style="width:257.25pt;height:135pt">
            <v:imagedata r:id="rId8" o:title=""/>
          </v:shape>
        </w:pict>
      </w: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r>
        <w:t xml:space="preserve">A modo de síntesis la evolución en  el período analizado para la ciudad de Madrid y para España resultaría ser: </w:t>
      </w:r>
    </w:p>
    <w:tbl>
      <w:tblPr>
        <w:tblW w:w="4600" w:type="dxa"/>
        <w:tblInd w:w="58" w:type="dxa"/>
        <w:tblCellMar>
          <w:left w:w="70" w:type="dxa"/>
          <w:right w:w="70" w:type="dxa"/>
        </w:tblCellMar>
        <w:tblLook w:val="0000"/>
      </w:tblPr>
      <w:tblGrid>
        <w:gridCol w:w="2120"/>
        <w:gridCol w:w="1240"/>
        <w:gridCol w:w="1240"/>
      </w:tblGrid>
      <w:tr w:rsidR="004A4D27" w:rsidTr="00195D09">
        <w:trPr>
          <w:trHeight w:val="276"/>
        </w:trPr>
        <w:tc>
          <w:tcPr>
            <w:tcW w:w="2120" w:type="dxa"/>
            <w:tcBorders>
              <w:top w:val="single" w:sz="4" w:space="0" w:color="auto"/>
              <w:left w:val="single" w:sz="4" w:space="0" w:color="auto"/>
              <w:bottom w:val="nil"/>
              <w:right w:val="nil"/>
            </w:tcBorders>
            <w:noWrap/>
            <w:vAlign w:val="bottom"/>
          </w:tcPr>
          <w:p w:rsidR="004A4D27" w:rsidRDefault="004A4D27" w:rsidP="00195D09">
            <w:pPr>
              <w:rPr>
                <w:rFonts w:ascii="Arial" w:hAnsi="Arial" w:cs="Arial"/>
                <w:b/>
                <w:bCs/>
                <w:sz w:val="20"/>
                <w:szCs w:val="20"/>
              </w:rPr>
            </w:pPr>
            <w:r>
              <w:rPr>
                <w:rFonts w:ascii="Arial" w:hAnsi="Arial" w:cs="Arial"/>
                <w:b/>
                <w:bCs/>
                <w:sz w:val="20"/>
                <w:szCs w:val="20"/>
              </w:rPr>
              <w:t>Año 2005</w:t>
            </w:r>
          </w:p>
        </w:tc>
        <w:tc>
          <w:tcPr>
            <w:tcW w:w="1240" w:type="dxa"/>
            <w:tcBorders>
              <w:top w:val="single" w:sz="4" w:space="0" w:color="auto"/>
              <w:left w:val="nil"/>
              <w:bottom w:val="nil"/>
              <w:right w:val="nil"/>
            </w:tcBorders>
            <w:noWrap/>
            <w:vAlign w:val="bottom"/>
          </w:tcPr>
          <w:p w:rsidR="004A4D27" w:rsidRDefault="004A4D27" w:rsidP="00195D09">
            <w:pPr>
              <w:rPr>
                <w:rFonts w:ascii="Arial" w:hAnsi="Arial" w:cs="Arial"/>
                <w:sz w:val="20"/>
                <w:szCs w:val="20"/>
              </w:rPr>
            </w:pPr>
            <w:r>
              <w:rPr>
                <w:rFonts w:ascii="Arial" w:hAnsi="Arial" w:cs="Arial"/>
                <w:sz w:val="20"/>
                <w:szCs w:val="20"/>
              </w:rPr>
              <w:t>Madrid</w:t>
            </w:r>
          </w:p>
        </w:tc>
        <w:tc>
          <w:tcPr>
            <w:tcW w:w="1240" w:type="dxa"/>
            <w:tcBorders>
              <w:top w:val="single" w:sz="4" w:space="0" w:color="auto"/>
              <w:left w:val="nil"/>
              <w:bottom w:val="nil"/>
              <w:right w:val="single" w:sz="4" w:space="0" w:color="auto"/>
            </w:tcBorders>
            <w:noWrap/>
            <w:vAlign w:val="bottom"/>
          </w:tcPr>
          <w:p w:rsidR="004A4D27" w:rsidRDefault="004A4D27" w:rsidP="00195D09">
            <w:pPr>
              <w:rPr>
                <w:rFonts w:ascii="Arial" w:hAnsi="Arial" w:cs="Arial"/>
                <w:sz w:val="20"/>
                <w:szCs w:val="20"/>
              </w:rPr>
            </w:pPr>
            <w:r>
              <w:rPr>
                <w:rFonts w:ascii="Arial" w:hAnsi="Arial" w:cs="Arial"/>
                <w:sz w:val="20"/>
                <w:szCs w:val="20"/>
              </w:rPr>
              <w:t>España</w:t>
            </w:r>
          </w:p>
        </w:tc>
      </w:tr>
      <w:tr w:rsidR="004A4D27" w:rsidTr="00195D09">
        <w:trPr>
          <w:trHeight w:val="264"/>
        </w:trPr>
        <w:tc>
          <w:tcPr>
            <w:tcW w:w="2120" w:type="dxa"/>
            <w:tcBorders>
              <w:top w:val="single" w:sz="8" w:space="0" w:color="auto"/>
              <w:left w:val="single" w:sz="8" w:space="0" w:color="auto"/>
              <w:bottom w:val="nil"/>
              <w:right w:val="nil"/>
            </w:tcBorders>
            <w:noWrap/>
            <w:vAlign w:val="bottom"/>
          </w:tcPr>
          <w:p w:rsidR="004A4D27" w:rsidRDefault="004A4D27" w:rsidP="00195D09">
            <w:pPr>
              <w:rPr>
                <w:rFonts w:ascii="Arial" w:hAnsi="Arial" w:cs="Arial"/>
                <w:sz w:val="20"/>
                <w:szCs w:val="20"/>
              </w:rPr>
            </w:pPr>
            <w:r>
              <w:rPr>
                <w:rFonts w:ascii="Arial" w:hAnsi="Arial" w:cs="Arial"/>
                <w:sz w:val="20"/>
                <w:szCs w:val="20"/>
              </w:rPr>
              <w:t>Educación</w:t>
            </w:r>
          </w:p>
        </w:tc>
        <w:tc>
          <w:tcPr>
            <w:tcW w:w="1240" w:type="dxa"/>
            <w:tcBorders>
              <w:top w:val="single" w:sz="8" w:space="0" w:color="auto"/>
              <w:left w:val="nil"/>
              <w:bottom w:val="nil"/>
              <w:right w:val="nil"/>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0,979</w:t>
            </w:r>
          </w:p>
        </w:tc>
        <w:tc>
          <w:tcPr>
            <w:tcW w:w="1240" w:type="dxa"/>
            <w:tcBorders>
              <w:top w:val="single" w:sz="8" w:space="0" w:color="auto"/>
              <w:left w:val="nil"/>
              <w:bottom w:val="nil"/>
              <w:right w:val="single" w:sz="8" w:space="0" w:color="auto"/>
            </w:tcBorders>
            <w:noWrap/>
            <w:vAlign w:val="bottom"/>
          </w:tcPr>
          <w:p w:rsidR="004A4D27" w:rsidRDefault="004A4D27" w:rsidP="00195D09">
            <w:pPr>
              <w:jc w:val="right"/>
              <w:rPr>
                <w:rFonts w:ascii="Arial" w:hAnsi="Arial" w:cs="Arial"/>
                <w:sz w:val="20"/>
                <w:szCs w:val="20"/>
              </w:rPr>
            </w:pPr>
            <w:r>
              <w:rPr>
                <w:rFonts w:ascii="Arial" w:hAnsi="Arial" w:cs="Arial"/>
                <w:sz w:val="20"/>
                <w:szCs w:val="20"/>
              </w:rPr>
              <w:t>1,055</w:t>
            </w:r>
          </w:p>
        </w:tc>
      </w:tr>
      <w:tr w:rsidR="004A4D27" w:rsidTr="00195D09">
        <w:trPr>
          <w:trHeight w:val="264"/>
        </w:trPr>
        <w:tc>
          <w:tcPr>
            <w:tcW w:w="2120" w:type="dxa"/>
            <w:tcBorders>
              <w:top w:val="nil"/>
              <w:left w:val="single" w:sz="8" w:space="0" w:color="auto"/>
              <w:bottom w:val="nil"/>
              <w:right w:val="nil"/>
            </w:tcBorders>
            <w:noWrap/>
            <w:vAlign w:val="bottom"/>
          </w:tcPr>
          <w:p w:rsidR="004A4D27" w:rsidRDefault="004A4D27" w:rsidP="00195D09">
            <w:pPr>
              <w:rPr>
                <w:rFonts w:ascii="Arial" w:hAnsi="Arial" w:cs="Arial"/>
                <w:sz w:val="20"/>
                <w:szCs w:val="20"/>
              </w:rPr>
            </w:pPr>
            <w:r>
              <w:rPr>
                <w:rFonts w:ascii="Arial" w:hAnsi="Arial" w:cs="Arial"/>
                <w:sz w:val="20"/>
                <w:szCs w:val="20"/>
              </w:rPr>
              <w:t>Trabajo remunerado</w:t>
            </w:r>
          </w:p>
        </w:tc>
        <w:tc>
          <w:tcPr>
            <w:tcW w:w="1240" w:type="dxa"/>
            <w:tcBorders>
              <w:top w:val="nil"/>
              <w:left w:val="nil"/>
              <w:bottom w:val="nil"/>
              <w:right w:val="nil"/>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0,818</w:t>
            </w:r>
          </w:p>
        </w:tc>
        <w:tc>
          <w:tcPr>
            <w:tcW w:w="1240" w:type="dxa"/>
            <w:tcBorders>
              <w:top w:val="nil"/>
              <w:left w:val="nil"/>
              <w:bottom w:val="nil"/>
              <w:right w:val="single" w:sz="8" w:space="0" w:color="auto"/>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0,646</w:t>
            </w:r>
          </w:p>
        </w:tc>
      </w:tr>
      <w:tr w:rsidR="004A4D27" w:rsidTr="00195D09">
        <w:trPr>
          <w:trHeight w:val="264"/>
        </w:trPr>
        <w:tc>
          <w:tcPr>
            <w:tcW w:w="2120" w:type="dxa"/>
            <w:tcBorders>
              <w:top w:val="nil"/>
              <w:left w:val="single" w:sz="8" w:space="0" w:color="auto"/>
              <w:bottom w:val="nil"/>
              <w:right w:val="nil"/>
            </w:tcBorders>
            <w:noWrap/>
            <w:vAlign w:val="bottom"/>
          </w:tcPr>
          <w:p w:rsidR="004A4D27" w:rsidRDefault="004A4D27" w:rsidP="00195D09">
            <w:pPr>
              <w:rPr>
                <w:rFonts w:ascii="Arial" w:hAnsi="Arial" w:cs="Arial"/>
                <w:sz w:val="20"/>
                <w:szCs w:val="20"/>
              </w:rPr>
            </w:pPr>
            <w:r>
              <w:rPr>
                <w:rFonts w:ascii="Arial" w:hAnsi="Arial" w:cs="Arial"/>
                <w:sz w:val="20"/>
                <w:szCs w:val="20"/>
              </w:rPr>
              <w:t>Ingresos económicos</w:t>
            </w:r>
          </w:p>
        </w:tc>
        <w:tc>
          <w:tcPr>
            <w:tcW w:w="1240" w:type="dxa"/>
            <w:tcBorders>
              <w:top w:val="nil"/>
              <w:left w:val="nil"/>
              <w:bottom w:val="nil"/>
              <w:right w:val="nil"/>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0,723</w:t>
            </w:r>
          </w:p>
        </w:tc>
        <w:tc>
          <w:tcPr>
            <w:tcW w:w="1240" w:type="dxa"/>
            <w:tcBorders>
              <w:top w:val="nil"/>
              <w:left w:val="nil"/>
              <w:bottom w:val="nil"/>
              <w:right w:val="single" w:sz="8" w:space="0" w:color="auto"/>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0,808</w:t>
            </w:r>
          </w:p>
        </w:tc>
      </w:tr>
      <w:tr w:rsidR="004A4D27" w:rsidTr="00195D09">
        <w:trPr>
          <w:trHeight w:val="264"/>
        </w:trPr>
        <w:tc>
          <w:tcPr>
            <w:tcW w:w="2120" w:type="dxa"/>
            <w:tcBorders>
              <w:top w:val="nil"/>
              <w:left w:val="single" w:sz="8" w:space="0" w:color="auto"/>
              <w:bottom w:val="nil"/>
              <w:right w:val="nil"/>
            </w:tcBorders>
            <w:noWrap/>
            <w:vAlign w:val="bottom"/>
          </w:tcPr>
          <w:p w:rsidR="004A4D27" w:rsidRDefault="004A4D27" w:rsidP="00195D09">
            <w:pPr>
              <w:rPr>
                <w:rFonts w:ascii="Arial" w:hAnsi="Arial" w:cs="Arial"/>
                <w:sz w:val="20"/>
                <w:szCs w:val="20"/>
              </w:rPr>
            </w:pPr>
            <w:r>
              <w:rPr>
                <w:rFonts w:ascii="Arial" w:hAnsi="Arial" w:cs="Arial"/>
                <w:sz w:val="20"/>
                <w:szCs w:val="20"/>
              </w:rPr>
              <w:t>Toma decisiones</w:t>
            </w:r>
          </w:p>
        </w:tc>
        <w:tc>
          <w:tcPr>
            <w:tcW w:w="1240" w:type="dxa"/>
            <w:tcBorders>
              <w:top w:val="nil"/>
              <w:left w:val="nil"/>
              <w:bottom w:val="nil"/>
              <w:right w:val="nil"/>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0,616</w:t>
            </w:r>
          </w:p>
        </w:tc>
        <w:tc>
          <w:tcPr>
            <w:tcW w:w="1240" w:type="dxa"/>
            <w:tcBorders>
              <w:top w:val="nil"/>
              <w:left w:val="nil"/>
              <w:bottom w:val="nil"/>
              <w:right w:val="single" w:sz="8" w:space="0" w:color="auto"/>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0,518</w:t>
            </w:r>
          </w:p>
        </w:tc>
      </w:tr>
      <w:tr w:rsidR="004A4D27" w:rsidTr="00195D09">
        <w:trPr>
          <w:trHeight w:val="264"/>
        </w:trPr>
        <w:tc>
          <w:tcPr>
            <w:tcW w:w="2120" w:type="dxa"/>
            <w:tcBorders>
              <w:top w:val="nil"/>
              <w:left w:val="single" w:sz="8" w:space="0" w:color="auto"/>
              <w:bottom w:val="nil"/>
              <w:right w:val="nil"/>
            </w:tcBorders>
            <w:noWrap/>
            <w:vAlign w:val="bottom"/>
          </w:tcPr>
          <w:p w:rsidR="004A4D27" w:rsidRDefault="004A4D27" w:rsidP="00195D09">
            <w:pPr>
              <w:rPr>
                <w:rFonts w:ascii="Arial" w:hAnsi="Arial" w:cs="Arial"/>
                <w:sz w:val="20"/>
                <w:szCs w:val="20"/>
              </w:rPr>
            </w:pPr>
            <w:r>
              <w:rPr>
                <w:rFonts w:ascii="Arial" w:hAnsi="Arial" w:cs="Arial"/>
                <w:sz w:val="20"/>
                <w:szCs w:val="20"/>
              </w:rPr>
              <w:t>Trabajo no remunerado</w:t>
            </w:r>
          </w:p>
        </w:tc>
        <w:tc>
          <w:tcPr>
            <w:tcW w:w="1240" w:type="dxa"/>
            <w:tcBorders>
              <w:top w:val="nil"/>
              <w:left w:val="nil"/>
              <w:bottom w:val="nil"/>
              <w:right w:val="nil"/>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0,496</w:t>
            </w:r>
          </w:p>
        </w:tc>
        <w:tc>
          <w:tcPr>
            <w:tcW w:w="1240" w:type="dxa"/>
            <w:tcBorders>
              <w:top w:val="nil"/>
              <w:left w:val="nil"/>
              <w:bottom w:val="nil"/>
              <w:right w:val="single" w:sz="8" w:space="0" w:color="auto"/>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0,450</w:t>
            </w:r>
          </w:p>
        </w:tc>
      </w:tr>
      <w:tr w:rsidR="004A4D27" w:rsidTr="00195D09">
        <w:trPr>
          <w:trHeight w:val="264"/>
        </w:trPr>
        <w:tc>
          <w:tcPr>
            <w:tcW w:w="2120" w:type="dxa"/>
            <w:tcBorders>
              <w:top w:val="nil"/>
              <w:left w:val="single" w:sz="8" w:space="0" w:color="auto"/>
              <w:bottom w:val="nil"/>
              <w:right w:val="nil"/>
            </w:tcBorders>
            <w:noWrap/>
            <w:vAlign w:val="bottom"/>
          </w:tcPr>
          <w:p w:rsidR="004A4D27" w:rsidRDefault="004A4D27" w:rsidP="00195D09">
            <w:pPr>
              <w:rPr>
                <w:rFonts w:ascii="Arial" w:hAnsi="Arial" w:cs="Arial"/>
                <w:b/>
                <w:bCs/>
                <w:sz w:val="20"/>
                <w:szCs w:val="20"/>
              </w:rPr>
            </w:pPr>
            <w:r>
              <w:rPr>
                <w:rFonts w:ascii="Arial" w:hAnsi="Arial" w:cs="Arial"/>
                <w:b/>
                <w:bCs/>
                <w:sz w:val="20"/>
                <w:szCs w:val="20"/>
              </w:rPr>
              <w:t>Año 2018</w:t>
            </w:r>
          </w:p>
        </w:tc>
        <w:tc>
          <w:tcPr>
            <w:tcW w:w="1240" w:type="dxa"/>
            <w:tcBorders>
              <w:top w:val="nil"/>
              <w:left w:val="nil"/>
              <w:bottom w:val="nil"/>
              <w:right w:val="nil"/>
            </w:tcBorders>
            <w:noWrap/>
            <w:vAlign w:val="bottom"/>
          </w:tcPr>
          <w:p w:rsidR="004A4D27" w:rsidRDefault="004A4D27" w:rsidP="00195D09">
            <w:pPr>
              <w:rPr>
                <w:rFonts w:ascii="Arial" w:hAnsi="Arial" w:cs="Arial"/>
                <w:sz w:val="20"/>
                <w:szCs w:val="20"/>
              </w:rPr>
            </w:pPr>
          </w:p>
        </w:tc>
        <w:tc>
          <w:tcPr>
            <w:tcW w:w="1240" w:type="dxa"/>
            <w:tcBorders>
              <w:top w:val="nil"/>
              <w:left w:val="nil"/>
              <w:bottom w:val="nil"/>
              <w:right w:val="single" w:sz="8" w:space="0" w:color="auto"/>
            </w:tcBorders>
            <w:noWrap/>
            <w:vAlign w:val="bottom"/>
          </w:tcPr>
          <w:p w:rsidR="004A4D27" w:rsidRDefault="004A4D27" w:rsidP="00195D09">
            <w:pPr>
              <w:rPr>
                <w:rFonts w:ascii="Arial" w:hAnsi="Arial" w:cs="Arial"/>
                <w:sz w:val="20"/>
                <w:szCs w:val="20"/>
              </w:rPr>
            </w:pPr>
            <w:r>
              <w:rPr>
                <w:rFonts w:ascii="Arial" w:hAnsi="Arial" w:cs="Arial"/>
                <w:sz w:val="20"/>
                <w:szCs w:val="20"/>
              </w:rPr>
              <w:t> </w:t>
            </w:r>
          </w:p>
        </w:tc>
      </w:tr>
      <w:tr w:rsidR="004A4D27" w:rsidTr="00195D09">
        <w:trPr>
          <w:trHeight w:val="264"/>
        </w:trPr>
        <w:tc>
          <w:tcPr>
            <w:tcW w:w="2120" w:type="dxa"/>
            <w:tcBorders>
              <w:top w:val="nil"/>
              <w:left w:val="single" w:sz="8" w:space="0" w:color="auto"/>
              <w:bottom w:val="nil"/>
              <w:right w:val="nil"/>
            </w:tcBorders>
            <w:noWrap/>
            <w:vAlign w:val="bottom"/>
          </w:tcPr>
          <w:p w:rsidR="004A4D27" w:rsidRDefault="004A4D27" w:rsidP="00195D09">
            <w:pPr>
              <w:rPr>
                <w:rFonts w:ascii="Arial" w:hAnsi="Arial" w:cs="Arial"/>
                <w:sz w:val="20"/>
                <w:szCs w:val="20"/>
              </w:rPr>
            </w:pPr>
            <w:r>
              <w:rPr>
                <w:rFonts w:ascii="Arial" w:hAnsi="Arial" w:cs="Arial"/>
                <w:sz w:val="20"/>
                <w:szCs w:val="20"/>
              </w:rPr>
              <w:t>Educación</w:t>
            </w:r>
          </w:p>
        </w:tc>
        <w:tc>
          <w:tcPr>
            <w:tcW w:w="1240" w:type="dxa"/>
            <w:tcBorders>
              <w:top w:val="nil"/>
              <w:left w:val="nil"/>
              <w:bottom w:val="nil"/>
              <w:right w:val="nil"/>
            </w:tcBorders>
            <w:noWrap/>
            <w:vAlign w:val="bottom"/>
          </w:tcPr>
          <w:p w:rsidR="004A4D27" w:rsidRDefault="004A4D27" w:rsidP="00195D09">
            <w:pPr>
              <w:jc w:val="right"/>
              <w:rPr>
                <w:rFonts w:ascii="Arial" w:hAnsi="Arial" w:cs="Arial"/>
                <w:sz w:val="20"/>
                <w:szCs w:val="20"/>
              </w:rPr>
            </w:pPr>
            <w:r>
              <w:rPr>
                <w:rFonts w:ascii="Arial" w:hAnsi="Arial" w:cs="Arial"/>
                <w:sz w:val="20"/>
                <w:szCs w:val="20"/>
              </w:rPr>
              <w:t>1,150</w:t>
            </w:r>
          </w:p>
        </w:tc>
        <w:tc>
          <w:tcPr>
            <w:tcW w:w="1240" w:type="dxa"/>
            <w:tcBorders>
              <w:top w:val="nil"/>
              <w:left w:val="nil"/>
              <w:bottom w:val="nil"/>
              <w:right w:val="single" w:sz="8" w:space="0" w:color="auto"/>
            </w:tcBorders>
            <w:noWrap/>
            <w:vAlign w:val="bottom"/>
          </w:tcPr>
          <w:p w:rsidR="004A4D27" w:rsidRDefault="004A4D27" w:rsidP="00195D09">
            <w:pPr>
              <w:jc w:val="right"/>
              <w:rPr>
                <w:rFonts w:ascii="Arial" w:hAnsi="Arial" w:cs="Arial"/>
                <w:sz w:val="20"/>
                <w:szCs w:val="20"/>
              </w:rPr>
            </w:pPr>
            <w:r>
              <w:rPr>
                <w:rFonts w:ascii="Arial" w:hAnsi="Arial" w:cs="Arial"/>
                <w:sz w:val="20"/>
                <w:szCs w:val="20"/>
              </w:rPr>
              <w:t>1,208</w:t>
            </w:r>
          </w:p>
        </w:tc>
      </w:tr>
      <w:tr w:rsidR="004A4D27" w:rsidTr="00195D09">
        <w:trPr>
          <w:trHeight w:val="264"/>
        </w:trPr>
        <w:tc>
          <w:tcPr>
            <w:tcW w:w="2120" w:type="dxa"/>
            <w:tcBorders>
              <w:top w:val="nil"/>
              <w:left w:val="single" w:sz="8" w:space="0" w:color="auto"/>
              <w:bottom w:val="nil"/>
              <w:right w:val="nil"/>
            </w:tcBorders>
            <w:noWrap/>
            <w:vAlign w:val="bottom"/>
          </w:tcPr>
          <w:p w:rsidR="004A4D27" w:rsidRDefault="004A4D27" w:rsidP="00195D09">
            <w:pPr>
              <w:rPr>
                <w:rFonts w:ascii="Arial" w:hAnsi="Arial" w:cs="Arial"/>
                <w:sz w:val="20"/>
                <w:szCs w:val="20"/>
              </w:rPr>
            </w:pPr>
            <w:r>
              <w:rPr>
                <w:rFonts w:ascii="Arial" w:hAnsi="Arial" w:cs="Arial"/>
                <w:sz w:val="20"/>
                <w:szCs w:val="20"/>
              </w:rPr>
              <w:t>Trabajo remunerado</w:t>
            </w:r>
          </w:p>
        </w:tc>
        <w:tc>
          <w:tcPr>
            <w:tcW w:w="1240" w:type="dxa"/>
            <w:tcBorders>
              <w:top w:val="nil"/>
              <w:left w:val="nil"/>
              <w:bottom w:val="nil"/>
              <w:right w:val="nil"/>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0,822</w:t>
            </w:r>
          </w:p>
        </w:tc>
        <w:tc>
          <w:tcPr>
            <w:tcW w:w="1240" w:type="dxa"/>
            <w:tcBorders>
              <w:top w:val="nil"/>
              <w:left w:val="nil"/>
              <w:bottom w:val="nil"/>
              <w:right w:val="single" w:sz="8" w:space="0" w:color="auto"/>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0,775</w:t>
            </w:r>
          </w:p>
        </w:tc>
      </w:tr>
      <w:tr w:rsidR="004A4D27" w:rsidTr="00195D09">
        <w:trPr>
          <w:trHeight w:val="264"/>
        </w:trPr>
        <w:tc>
          <w:tcPr>
            <w:tcW w:w="2120" w:type="dxa"/>
            <w:tcBorders>
              <w:top w:val="nil"/>
              <w:left w:val="single" w:sz="8" w:space="0" w:color="auto"/>
              <w:bottom w:val="nil"/>
              <w:right w:val="nil"/>
            </w:tcBorders>
            <w:noWrap/>
            <w:vAlign w:val="bottom"/>
          </w:tcPr>
          <w:p w:rsidR="004A4D27" w:rsidRDefault="004A4D27" w:rsidP="00195D09">
            <w:pPr>
              <w:rPr>
                <w:rFonts w:ascii="Arial" w:hAnsi="Arial" w:cs="Arial"/>
                <w:sz w:val="20"/>
                <w:szCs w:val="20"/>
              </w:rPr>
            </w:pPr>
            <w:r>
              <w:rPr>
                <w:rFonts w:ascii="Arial" w:hAnsi="Arial" w:cs="Arial"/>
                <w:sz w:val="20"/>
                <w:szCs w:val="20"/>
              </w:rPr>
              <w:t>Ingresos económicos</w:t>
            </w:r>
          </w:p>
        </w:tc>
        <w:tc>
          <w:tcPr>
            <w:tcW w:w="1240" w:type="dxa"/>
            <w:tcBorders>
              <w:top w:val="nil"/>
              <w:left w:val="nil"/>
              <w:bottom w:val="nil"/>
              <w:right w:val="nil"/>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0,782</w:t>
            </w:r>
          </w:p>
        </w:tc>
        <w:tc>
          <w:tcPr>
            <w:tcW w:w="1240" w:type="dxa"/>
            <w:tcBorders>
              <w:top w:val="nil"/>
              <w:left w:val="nil"/>
              <w:bottom w:val="nil"/>
              <w:right w:val="single" w:sz="8" w:space="0" w:color="auto"/>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0,775</w:t>
            </w:r>
          </w:p>
        </w:tc>
      </w:tr>
      <w:tr w:rsidR="004A4D27" w:rsidTr="00195D09">
        <w:trPr>
          <w:trHeight w:val="264"/>
        </w:trPr>
        <w:tc>
          <w:tcPr>
            <w:tcW w:w="2120" w:type="dxa"/>
            <w:tcBorders>
              <w:top w:val="nil"/>
              <w:left w:val="single" w:sz="8" w:space="0" w:color="auto"/>
              <w:bottom w:val="nil"/>
              <w:right w:val="nil"/>
            </w:tcBorders>
            <w:noWrap/>
            <w:vAlign w:val="bottom"/>
          </w:tcPr>
          <w:p w:rsidR="004A4D27" w:rsidRDefault="004A4D27" w:rsidP="00195D09">
            <w:pPr>
              <w:rPr>
                <w:rFonts w:ascii="Arial" w:hAnsi="Arial" w:cs="Arial"/>
                <w:sz w:val="20"/>
                <w:szCs w:val="20"/>
              </w:rPr>
            </w:pPr>
            <w:r>
              <w:rPr>
                <w:rFonts w:ascii="Arial" w:hAnsi="Arial" w:cs="Arial"/>
                <w:sz w:val="20"/>
                <w:szCs w:val="20"/>
              </w:rPr>
              <w:t>Toma decisiones</w:t>
            </w:r>
          </w:p>
        </w:tc>
        <w:tc>
          <w:tcPr>
            <w:tcW w:w="1240" w:type="dxa"/>
            <w:tcBorders>
              <w:top w:val="nil"/>
              <w:left w:val="nil"/>
              <w:bottom w:val="nil"/>
              <w:right w:val="nil"/>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0,662</w:t>
            </w:r>
          </w:p>
        </w:tc>
        <w:tc>
          <w:tcPr>
            <w:tcW w:w="1240" w:type="dxa"/>
            <w:tcBorders>
              <w:top w:val="nil"/>
              <w:left w:val="nil"/>
              <w:bottom w:val="nil"/>
              <w:right w:val="single" w:sz="8" w:space="0" w:color="auto"/>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0,607</w:t>
            </w:r>
          </w:p>
        </w:tc>
      </w:tr>
      <w:tr w:rsidR="004A4D27" w:rsidTr="00195D09">
        <w:trPr>
          <w:trHeight w:val="276"/>
        </w:trPr>
        <w:tc>
          <w:tcPr>
            <w:tcW w:w="2120" w:type="dxa"/>
            <w:tcBorders>
              <w:top w:val="nil"/>
              <w:left w:val="single" w:sz="8" w:space="0" w:color="auto"/>
              <w:bottom w:val="single" w:sz="8" w:space="0" w:color="auto"/>
              <w:right w:val="nil"/>
            </w:tcBorders>
            <w:noWrap/>
            <w:vAlign w:val="bottom"/>
          </w:tcPr>
          <w:p w:rsidR="004A4D27" w:rsidRDefault="004A4D27" w:rsidP="00195D09">
            <w:pPr>
              <w:rPr>
                <w:rFonts w:ascii="Arial" w:hAnsi="Arial" w:cs="Arial"/>
                <w:sz w:val="20"/>
                <w:szCs w:val="20"/>
              </w:rPr>
            </w:pPr>
            <w:r>
              <w:rPr>
                <w:rFonts w:ascii="Arial" w:hAnsi="Arial" w:cs="Arial"/>
                <w:sz w:val="20"/>
                <w:szCs w:val="20"/>
              </w:rPr>
              <w:t>Trabajo no remunerado</w:t>
            </w:r>
          </w:p>
        </w:tc>
        <w:tc>
          <w:tcPr>
            <w:tcW w:w="1240" w:type="dxa"/>
            <w:tcBorders>
              <w:top w:val="nil"/>
              <w:left w:val="nil"/>
              <w:bottom w:val="single" w:sz="8" w:space="0" w:color="auto"/>
              <w:right w:val="nil"/>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0,642</w:t>
            </w:r>
          </w:p>
        </w:tc>
        <w:tc>
          <w:tcPr>
            <w:tcW w:w="1240" w:type="dxa"/>
            <w:tcBorders>
              <w:top w:val="nil"/>
              <w:left w:val="nil"/>
              <w:bottom w:val="single" w:sz="8" w:space="0" w:color="auto"/>
              <w:right w:val="single" w:sz="8" w:space="0" w:color="auto"/>
            </w:tcBorders>
            <w:noWrap/>
            <w:vAlign w:val="bottom"/>
          </w:tcPr>
          <w:p w:rsidR="004A4D27" w:rsidRDefault="004A4D27" w:rsidP="00195D09">
            <w:pPr>
              <w:jc w:val="right"/>
              <w:rPr>
                <w:rFonts w:ascii="Arial" w:hAnsi="Arial" w:cs="Arial"/>
                <w:sz w:val="20"/>
                <w:szCs w:val="20"/>
              </w:rPr>
            </w:pPr>
            <w:r>
              <w:rPr>
                <w:rFonts w:ascii="Arial" w:hAnsi="Arial" w:cs="Arial"/>
                <w:sz w:val="20"/>
                <w:szCs w:val="20"/>
              </w:rPr>
              <w:t>0,582</w:t>
            </w:r>
          </w:p>
        </w:tc>
      </w:tr>
    </w:tbl>
    <w:p w:rsidR="004A4D27" w:rsidRDefault="004A4D27" w:rsidP="00F107B5">
      <w:pPr>
        <w:jc w:val="both"/>
      </w:pPr>
    </w:p>
    <w:p w:rsidR="004A4D27" w:rsidRDefault="004A4D27" w:rsidP="00F107B5">
      <w:pPr>
        <w:jc w:val="both"/>
      </w:pPr>
    </w:p>
    <w:p w:rsidR="004A4D27" w:rsidRDefault="004A4D27" w:rsidP="00F107B5">
      <w:pPr>
        <w:jc w:val="both"/>
      </w:pPr>
      <w:r>
        <w:t>La evolución en términos de igualdad entre mujeres y hombres en esta década y media que abarca la serie estudiada, marca en la ciudad de Madrid una notable mejora para las mujeres en todos los ámbitos, incluido el de trabajo remunerado que implica la recuperación de una crisis económica de calado. A escala de España las pautas son similares si bien algo menos acusadas respecto al impulso de la ciudad de Madrid.</w:t>
      </w:r>
    </w:p>
    <w:p w:rsidR="004A4D27" w:rsidRDefault="004A4D27" w:rsidP="00F107B5">
      <w:pPr>
        <w:jc w:val="both"/>
      </w:pPr>
    </w:p>
    <w:p w:rsidR="004A4D27" w:rsidRDefault="004A4D27" w:rsidP="00F107B5">
      <w:pPr>
        <w:numPr>
          <w:ilvl w:val="0"/>
          <w:numId w:val="3"/>
        </w:numPr>
        <w:spacing w:after="0" w:line="240" w:lineRule="auto"/>
        <w:jc w:val="both"/>
      </w:pPr>
      <w:r>
        <w:t xml:space="preserve">Analizando el índice por ámbitos de desigualdad, en </w:t>
      </w:r>
      <w:r w:rsidRPr="007D74DA">
        <w:rPr>
          <w:b/>
        </w:rPr>
        <w:t>Educación</w:t>
      </w:r>
      <w:r>
        <w:t xml:space="preserve"> (1,126) se aprecia un espacio favorable a la mujer en tres planos: menor </w:t>
      </w:r>
      <w:r w:rsidRPr="007D74DA">
        <w:t>fracaso o abandono escolar temprano, elevado nivel de estudios universitarios y</w:t>
      </w:r>
      <w:r>
        <w:t xml:space="preserve"> una importante incorporación femenina al uso de Internet que se viene consolidando en los tres últimos años, especialmente. Mejoran así mismo el ámbito de </w:t>
      </w:r>
      <w:r w:rsidRPr="007D74DA">
        <w:rPr>
          <w:b/>
        </w:rPr>
        <w:t>Ingresos</w:t>
      </w:r>
      <w:r>
        <w:t xml:space="preserve"> (0,782) y </w:t>
      </w:r>
      <w:r w:rsidRPr="007D74DA">
        <w:rPr>
          <w:b/>
        </w:rPr>
        <w:t>Toma de decisiones</w:t>
      </w:r>
      <w:r>
        <w:t xml:space="preserve"> (0,662). Es en el marco de </w:t>
      </w:r>
      <w:r w:rsidRPr="007D74DA">
        <w:rPr>
          <w:b/>
        </w:rPr>
        <w:t xml:space="preserve">Trabajo remunerado </w:t>
      </w:r>
      <w:r>
        <w:t>(0,822) donde se aprecia un enquistamiento de las diferencias de género, que aparecen como aspectos estructurales.</w:t>
      </w:r>
    </w:p>
    <w:p w:rsidR="004A4D27" w:rsidRDefault="004A4D27" w:rsidP="00F107B5">
      <w:pPr>
        <w:numPr>
          <w:ilvl w:val="0"/>
          <w:numId w:val="3"/>
        </w:numPr>
        <w:spacing w:after="0" w:line="240" w:lineRule="auto"/>
        <w:jc w:val="both"/>
      </w:pPr>
      <w:r w:rsidRPr="00B44FE1">
        <w:rPr>
          <w:u w:val="single"/>
        </w:rPr>
        <w:t>Trabajo productivo remunerado</w:t>
      </w:r>
      <w:r w:rsidRPr="0005764E">
        <w:t>.  El indicador en su conjunto</w:t>
      </w:r>
      <w:r>
        <w:t xml:space="preserve"> (0,822)</w:t>
      </w:r>
      <w:r w:rsidRPr="0005764E">
        <w:t xml:space="preserve"> muestra</w:t>
      </w:r>
      <w:r>
        <w:t xml:space="preserve"> un continuo  alejamiento del valor 1 para las mujeres, que marca menor igualdad,  respecto a los hombres. Este fenómeno se intensifica a la baja desde el año 2015. Si atendemos a los respectivos ámbitos del indicador, en materia de </w:t>
      </w:r>
      <w:r w:rsidRPr="00D23AFD">
        <w:rPr>
          <w:b/>
        </w:rPr>
        <w:t>Actividad</w:t>
      </w:r>
      <w:r>
        <w:t xml:space="preserve"> se aprecia que la presencia de las mujeres en el mercado laboral se mantiene por debajo en términos porcentuales para las mujeres en un 5% aproximadamente (5,7% en 2017, 5,1% en 2016 y 6,8% en 2018). En </w:t>
      </w:r>
      <w:r w:rsidRPr="00D23AFD">
        <w:rPr>
          <w:b/>
        </w:rPr>
        <w:t>Empleo</w:t>
      </w:r>
      <w:r>
        <w:t xml:space="preserve"> se atenúa la diferencia mujeres-hombres, respecto a la secuencia 2005-2011, es decir mejora la situación en el tiempo, pero con una diferencia de 6,3% entre sexos, que retrotrae a los valores de 2011 y muestra la persistencia de la inferioridad de las mujeres en el acceso al empleo. El </w:t>
      </w:r>
      <w:r w:rsidRPr="00D23AFD">
        <w:rPr>
          <w:b/>
        </w:rPr>
        <w:t>Paro</w:t>
      </w:r>
      <w:r>
        <w:t xml:space="preserve"> femenino, siempre por encima de los valores masculinos. En estos ámbitos analizados las diferencias se acrecienta en España respecto a la ciudad de Madrid. En cuanto a </w:t>
      </w:r>
      <w:r w:rsidRPr="00854B50">
        <w:rPr>
          <w:b/>
        </w:rPr>
        <w:t>condiciones de trabajo</w:t>
      </w:r>
      <w:r>
        <w:t>, en materia de trabajos con menor cualificación, se acortan distancias por la confluencia de dos factores: se va reduciendo en las mujeres y va expandiéndose  hacia los hombres, mostrando así un mayor alcance de la incidencia que se generaliza. Temporalidad y subempleo no dejan cuestionar el protagonismo de las mujeres. La composición de este factor estructural y determinante se sintetiza en: menos trabajo remunerado, menos empleo, más paro, más temporalidad y subempleo. Las cifras evidencian cómo se agudiza el fenómeno en el conjunto nacional.</w:t>
      </w:r>
    </w:p>
    <w:p w:rsidR="004A4D27" w:rsidRDefault="004A4D27" w:rsidP="00F107B5">
      <w:pPr>
        <w:jc w:val="both"/>
      </w:pPr>
    </w:p>
    <w:p w:rsidR="004A4D27" w:rsidRDefault="004A4D27" w:rsidP="00F107B5">
      <w:pPr>
        <w:ind w:left="720"/>
        <w:jc w:val="both"/>
      </w:pPr>
      <w:r>
        <w:pict>
          <v:shape id="_x0000_i1029" type="#_x0000_t75" style="width:317.25pt;height:189.75pt">
            <v:imagedata r:id="rId9" o:title=""/>
          </v:shape>
        </w:pict>
      </w:r>
    </w:p>
    <w:p w:rsidR="004A4D27" w:rsidRDefault="004A4D27" w:rsidP="00F107B5">
      <w:pPr>
        <w:ind w:left="720"/>
        <w:jc w:val="both"/>
      </w:pPr>
    </w:p>
    <w:p w:rsidR="004A4D27" w:rsidRDefault="004A4D27" w:rsidP="00F107B5">
      <w:pPr>
        <w:ind w:left="720"/>
        <w:jc w:val="both"/>
      </w:pPr>
      <w:r>
        <w:pict>
          <v:shape id="_x0000_i1030" type="#_x0000_t75" style="width:276pt;height:161.25pt">
            <v:imagedata r:id="rId10" o:title=""/>
          </v:shape>
        </w:pict>
      </w:r>
    </w:p>
    <w:p w:rsidR="004A4D27" w:rsidRDefault="004A4D27" w:rsidP="00F107B5">
      <w:pPr>
        <w:numPr>
          <w:ilvl w:val="0"/>
          <w:numId w:val="3"/>
        </w:numPr>
        <w:spacing w:after="0" w:line="240" w:lineRule="auto"/>
        <w:jc w:val="both"/>
      </w:pPr>
      <w:r>
        <w:rPr>
          <w:u w:val="single"/>
        </w:rPr>
        <w:t>Trabajo no remunerado</w:t>
      </w:r>
      <w:r w:rsidRPr="00614C6D">
        <w:t>.</w:t>
      </w:r>
      <w:r>
        <w:t xml:space="preserve"> En este aspecto resaltar la oscilación entre valores de las mujeres que consideran las </w:t>
      </w:r>
      <w:r w:rsidRPr="007D74DA">
        <w:rPr>
          <w:b/>
        </w:rPr>
        <w:t>tareas de cuidados</w:t>
      </w:r>
      <w:r>
        <w:t xml:space="preserve"> como la principal dedicación, con tendencia a bajar desde el año 2015, si bien las diferencias  respecto a los </w:t>
      </w:r>
    </w:p>
    <w:p w:rsidR="004A4D27" w:rsidRDefault="004A4D27" w:rsidP="00F107B5">
      <w:pPr>
        <w:ind w:left="708"/>
        <w:jc w:val="both"/>
      </w:pPr>
      <w:r>
        <w:t>hombres son muy elevadas, parece apreciarse un repunte al alza de los hombres que realizan esas tareas. Y aquí si se hace notar una diferencia: mientras que en la ciudad madrileña hay cambios, no sucede lo mismo con la pauta de comportamiento de los varones a nivel de todo el estado español.</w:t>
      </w:r>
    </w:p>
    <w:p w:rsidR="004A4D27" w:rsidRDefault="004A4D27" w:rsidP="00F107B5">
      <w:pPr>
        <w:jc w:val="both"/>
      </w:pPr>
    </w:p>
    <w:p w:rsidR="004A4D27" w:rsidRPr="0061366C" w:rsidRDefault="004A4D27" w:rsidP="00F107B5">
      <w:pPr>
        <w:ind w:left="708"/>
        <w:jc w:val="both"/>
      </w:pPr>
      <w:r>
        <w:pict>
          <v:shape id="_x0000_i1031" type="#_x0000_t75" style="width:317.25pt;height:178.5pt">
            <v:imagedata r:id="rId11" o:title=""/>
          </v:shape>
        </w:pict>
      </w:r>
    </w:p>
    <w:p w:rsidR="004A4D27" w:rsidRDefault="004A4D27" w:rsidP="00F107B5">
      <w:pPr>
        <w:numPr>
          <w:ilvl w:val="0"/>
          <w:numId w:val="3"/>
        </w:numPr>
        <w:spacing w:after="0" w:line="240" w:lineRule="auto"/>
        <w:jc w:val="both"/>
      </w:pPr>
      <w:r>
        <w:rPr>
          <w:u w:val="single"/>
        </w:rPr>
        <w:t>Ingresos económicos</w:t>
      </w:r>
      <w:r w:rsidRPr="001F087B">
        <w:t>.</w:t>
      </w:r>
      <w:r>
        <w:t xml:space="preserve"> Asciende hasta 0,782. En Madrid el </w:t>
      </w:r>
      <w:r w:rsidRPr="007D74DA">
        <w:rPr>
          <w:b/>
        </w:rPr>
        <w:t>salario medio por hora</w:t>
      </w:r>
      <w:r>
        <w:t xml:space="preserve"> mantiene la subida del año anterior, con las mismas diferencias respecto a los hombres, en España el salario de las mujeres es más bajo y se produce mayor distancia entre géneros. En cuanto a </w:t>
      </w:r>
      <w:r w:rsidRPr="007D74DA">
        <w:rPr>
          <w:b/>
        </w:rPr>
        <w:t>pensiones</w:t>
      </w:r>
      <w:r>
        <w:t xml:space="preserve">, además de las diferencias siempre perceptibles entre los niveles de la ciudad y los de España, desde 2013 se ha venido registrando un incremento para las mujeres, pero la distancia con los varones radica en que su pensión alcanza a ser un 64% de las percibidas por ellos. En cuanto a los ingresos con </w:t>
      </w:r>
      <w:r w:rsidRPr="007D74DA">
        <w:rPr>
          <w:b/>
        </w:rPr>
        <w:t>sustentador principal de sexo femenino</w:t>
      </w:r>
      <w:r>
        <w:t>, se aprecia un mayor empobrecimiento. A nivel de todo el país, los valores permanecen estables desde 2015, con menores ingresos para ellas pero menos distancia en relación a los hombres.</w:t>
      </w:r>
    </w:p>
    <w:p w:rsidR="004A4D27" w:rsidRDefault="004A4D27" w:rsidP="00F107B5">
      <w:pPr>
        <w:jc w:val="both"/>
      </w:pPr>
    </w:p>
    <w:p w:rsidR="004A4D27" w:rsidRDefault="004A4D27" w:rsidP="00F107B5">
      <w:pPr>
        <w:ind w:left="708"/>
        <w:jc w:val="both"/>
      </w:pPr>
      <w:r>
        <w:pict>
          <v:shape id="_x0000_i1032" type="#_x0000_t75" style="width:336pt;height:175.5pt">
            <v:imagedata r:id="rId12" o:title=""/>
          </v:shape>
        </w:pict>
      </w:r>
    </w:p>
    <w:p w:rsidR="004A4D27" w:rsidRDefault="004A4D27" w:rsidP="00F107B5">
      <w:pPr>
        <w:ind w:left="708"/>
        <w:jc w:val="both"/>
      </w:pPr>
    </w:p>
    <w:p w:rsidR="004A4D27" w:rsidRDefault="004A4D27" w:rsidP="00F107B5">
      <w:pPr>
        <w:ind w:left="708"/>
        <w:jc w:val="both"/>
      </w:pPr>
    </w:p>
    <w:p w:rsidR="004A4D27" w:rsidRPr="0061366C" w:rsidRDefault="004A4D27" w:rsidP="00F107B5">
      <w:pPr>
        <w:ind w:left="708"/>
        <w:jc w:val="both"/>
      </w:pPr>
      <w:r>
        <w:pict>
          <v:shape id="_x0000_i1033" type="#_x0000_t75" style="width:334.5pt;height:171.75pt">
            <v:imagedata r:id="rId13" o:title=""/>
          </v:shape>
        </w:pict>
      </w:r>
    </w:p>
    <w:p w:rsidR="004A4D27" w:rsidRDefault="004A4D27" w:rsidP="00F107B5">
      <w:pPr>
        <w:numPr>
          <w:ilvl w:val="0"/>
          <w:numId w:val="3"/>
        </w:numPr>
        <w:spacing w:after="0" w:line="240" w:lineRule="auto"/>
        <w:jc w:val="both"/>
      </w:pPr>
      <w:r>
        <w:rPr>
          <w:u w:val="single"/>
        </w:rPr>
        <w:t>Educación</w:t>
      </w:r>
      <w:r w:rsidRPr="00214F4F">
        <w:t>.</w:t>
      </w:r>
      <w:r>
        <w:t xml:space="preserve"> Con un valor de 1,150 supera el umbral de la igualdad a favor de las mujeres sobradamente y como constante. El </w:t>
      </w:r>
      <w:r w:rsidRPr="007D74DA">
        <w:rPr>
          <w:b/>
        </w:rPr>
        <w:t>abandono temprano</w:t>
      </w:r>
      <w:r>
        <w:t xml:space="preserve"> desciende en los hombres pero con oscilaciones, mientras que en la mujer adopta la pauta descendente y más intensa. En materia de </w:t>
      </w:r>
      <w:r w:rsidRPr="00736238">
        <w:rPr>
          <w:b/>
        </w:rPr>
        <w:t>estudios superiores</w:t>
      </w:r>
      <w:r>
        <w:t xml:space="preserve"> predomina la presencia de mujeres porcentualmente y se mantiene el incremento de la ratio hasta 1,04. Es de señalar que el </w:t>
      </w:r>
      <w:r w:rsidRPr="007D74DA">
        <w:rPr>
          <w:b/>
        </w:rPr>
        <w:t>acceso de las  mujeres a Internet,</w:t>
      </w:r>
      <w:r>
        <w:t xml:space="preserve"> aún cuando sea menor, se ha duplicado en la trayectoria del tiempo desde 2005. En comparación, España tiene más abandono escolar temprano que Madrid y mayor nivel técnico en las mujeres, así como en materia de Internet roza la igualdad entre sexos.</w:t>
      </w:r>
    </w:p>
    <w:p w:rsidR="004A4D27" w:rsidRDefault="004A4D27" w:rsidP="00F107B5">
      <w:pPr>
        <w:ind w:left="360"/>
        <w:jc w:val="both"/>
        <w:rPr>
          <w:u w:val="single"/>
        </w:rPr>
      </w:pPr>
    </w:p>
    <w:p w:rsidR="004A4D27" w:rsidRPr="007567EA" w:rsidRDefault="004A4D27" w:rsidP="00F107B5">
      <w:pPr>
        <w:ind w:left="708"/>
        <w:jc w:val="both"/>
        <w:rPr>
          <w:u w:val="single"/>
        </w:rPr>
      </w:pPr>
      <w:r>
        <w:pict>
          <v:shape id="_x0000_i1034" type="#_x0000_t75" style="width:329.25pt;height:180pt">
            <v:imagedata r:id="rId14" o:title=""/>
          </v:shape>
        </w:pict>
      </w:r>
    </w:p>
    <w:p w:rsidR="004A4D27" w:rsidRDefault="004A4D27" w:rsidP="00F107B5">
      <w:pPr>
        <w:ind w:left="708"/>
        <w:jc w:val="both"/>
        <w:rPr>
          <w:u w:val="single"/>
        </w:rPr>
      </w:pPr>
    </w:p>
    <w:p w:rsidR="004A4D27" w:rsidRPr="00B353CF" w:rsidRDefault="004A4D27" w:rsidP="00F107B5">
      <w:pPr>
        <w:ind w:left="708"/>
        <w:jc w:val="both"/>
        <w:rPr>
          <w:u w:val="single"/>
        </w:rPr>
      </w:pPr>
      <w:r>
        <w:pict>
          <v:shape id="_x0000_i1035" type="#_x0000_t75" style="width:330pt;height:168.75pt">
            <v:imagedata r:id="rId15" o:title=""/>
          </v:shape>
        </w:pict>
      </w:r>
    </w:p>
    <w:p w:rsidR="004A4D27" w:rsidRDefault="004A4D27" w:rsidP="00F107B5">
      <w:pPr>
        <w:ind w:left="708"/>
        <w:jc w:val="both"/>
      </w:pPr>
    </w:p>
    <w:p w:rsidR="004A4D27" w:rsidRPr="0005764E" w:rsidRDefault="004A4D27" w:rsidP="00F107B5">
      <w:pPr>
        <w:numPr>
          <w:ilvl w:val="0"/>
          <w:numId w:val="3"/>
        </w:numPr>
        <w:spacing w:after="0" w:line="240" w:lineRule="auto"/>
        <w:jc w:val="both"/>
      </w:pPr>
      <w:r>
        <w:rPr>
          <w:u w:val="single"/>
        </w:rPr>
        <w:t>Toma de decisiones</w:t>
      </w:r>
      <w:r w:rsidRPr="007D74DA">
        <w:t>.</w:t>
      </w:r>
      <w:r>
        <w:t xml:space="preserve">  Con un valor de 0,662 que se incrementa, lo más reseñable es el aumento del número de mujeres que ocupan puestos directivos, en casi dos puntos porcentuales, que viene a dar un nuevo equilibrio en el reparto de la ocupación al más alto nivel direccional en el que se aprecia una irrupción femenina que además reduce distancia hombres-mujeres.</w:t>
      </w:r>
    </w:p>
    <w:p w:rsidR="004A4D27" w:rsidRPr="0005764E" w:rsidRDefault="004A4D27" w:rsidP="00F107B5">
      <w:pPr>
        <w:jc w:val="both"/>
      </w:pPr>
    </w:p>
    <w:p w:rsidR="004A4D27" w:rsidRPr="0061366C" w:rsidRDefault="004A4D27" w:rsidP="00F107B5">
      <w:pPr>
        <w:ind w:left="708"/>
        <w:jc w:val="both"/>
      </w:pPr>
      <w:r>
        <w:pict>
          <v:shape id="_x0000_i1036" type="#_x0000_t75" style="width:311.25pt;height:177pt">
            <v:imagedata r:id="rId16" o:title=""/>
          </v:shape>
        </w:pict>
      </w:r>
    </w:p>
    <w:p w:rsidR="004A4D27" w:rsidRDefault="004A4D27" w:rsidP="00F107B5">
      <w:pPr>
        <w:jc w:val="both"/>
      </w:pPr>
    </w:p>
    <w:p w:rsidR="004A4D27" w:rsidRDefault="004A4D27" w:rsidP="00F107B5">
      <w:pPr>
        <w:jc w:val="both"/>
      </w:pPr>
    </w:p>
    <w:p w:rsidR="004A4D27" w:rsidRDefault="004A4D27" w:rsidP="00F107B5">
      <w:pPr>
        <w:jc w:val="both"/>
      </w:pPr>
    </w:p>
    <w:p w:rsidR="004A4D27" w:rsidRDefault="004A4D27" w:rsidP="00F107B5">
      <w:pPr>
        <w:jc w:val="both"/>
      </w:pPr>
      <w:r>
        <w:rPr>
          <w:b/>
        </w:rPr>
        <w:t>Madrid.  21/10/19</w:t>
      </w:r>
    </w:p>
    <w:p w:rsidR="004A4D27" w:rsidRDefault="004A4D27"/>
    <w:sectPr w:rsidR="004A4D27" w:rsidSect="00CD777B">
      <w:headerReference w:type="default" r:id="rId17"/>
      <w:footerReference w:type="even" r:id="rId18"/>
      <w:footerReference w:type="default" r:id="rId19"/>
      <w:pgSz w:w="11906" w:h="16838"/>
      <w:pgMar w:top="1417" w:right="1106" w:bottom="1417"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D27" w:rsidRDefault="004A4D27">
      <w:r>
        <w:separator/>
      </w:r>
    </w:p>
  </w:endnote>
  <w:endnote w:type="continuationSeparator" w:id="0">
    <w:p w:rsidR="004A4D27" w:rsidRDefault="004A4D27">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27" w:rsidRDefault="004A4D27" w:rsidP="00CA5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A4D27" w:rsidRDefault="004A4D27" w:rsidP="005D766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D27" w:rsidRDefault="004A4D27" w:rsidP="00CA56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A4D27" w:rsidRDefault="004A4D27" w:rsidP="005D766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D27" w:rsidRDefault="004A4D27">
      <w:r>
        <w:separator/>
      </w:r>
    </w:p>
  </w:footnote>
  <w:footnote w:type="continuationSeparator" w:id="0">
    <w:p w:rsidR="004A4D27" w:rsidRDefault="004A4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96" w:type="dxa"/>
      <w:tblBorders>
        <w:insideH w:val="single" w:sz="4" w:space="0" w:color="auto"/>
      </w:tblBorders>
      <w:tblCellMar>
        <w:left w:w="0" w:type="dxa"/>
        <w:right w:w="0" w:type="dxa"/>
      </w:tblCellMar>
      <w:tblLook w:val="01E0"/>
    </w:tblPr>
    <w:tblGrid>
      <w:gridCol w:w="4621"/>
      <w:gridCol w:w="4575"/>
    </w:tblGrid>
    <w:tr w:rsidR="004A4D27" w:rsidRPr="00B52D27" w:rsidTr="00195D09">
      <w:trPr>
        <w:trHeight w:val="798"/>
      </w:trPr>
      <w:tc>
        <w:tcPr>
          <w:tcW w:w="4621" w:type="dxa"/>
        </w:tcPr>
        <w:p w:rsidR="004A4D27" w:rsidRPr="00B52D27" w:rsidRDefault="004A4D27" w:rsidP="00195D09">
          <w:pPr>
            <w:pStyle w:val="Header"/>
            <w:rPr>
              <w:sz w:val="20"/>
              <w:szCs w:val="20"/>
            </w:rPr>
          </w:pPr>
          <w:r w:rsidRPr="00B52D27">
            <w:rPr>
              <w:sz w:val="20"/>
              <w:szCs w:val="20"/>
            </w:rPr>
            <w:t>Coordinación General de Contratación y Política Financiera</w:t>
          </w:r>
        </w:p>
        <w:p w:rsidR="004A4D27" w:rsidRPr="00B52D27" w:rsidRDefault="004A4D27" w:rsidP="00195D09">
          <w:pPr>
            <w:pStyle w:val="Header"/>
          </w:pPr>
          <w:r w:rsidRPr="00B52D27">
            <w:rPr>
              <w:sz w:val="20"/>
              <w:szCs w:val="20"/>
            </w:rPr>
            <w:t>Subdirección General de Estadística</w:t>
          </w:r>
        </w:p>
      </w:tc>
      <w:tc>
        <w:tcPr>
          <w:tcW w:w="4575" w:type="dxa"/>
        </w:tcPr>
        <w:p w:rsidR="004A4D27" w:rsidRPr="00B52D27" w:rsidRDefault="004A4D27" w:rsidP="00195D09">
          <w:pPr>
            <w:pStyle w:val="Header"/>
            <w:tabs>
              <w:tab w:val="clear" w:pos="4252"/>
            </w:tabs>
            <w:jc w:val="right"/>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212.25pt;height:27.75pt;visibility:visible">
                <v:imagedata r:id="rId1" o:title="" croptop="15170f" cropbottom="16809f" cropleft="4098f" cropright="4656f"/>
              </v:shape>
            </w:pict>
          </w:r>
        </w:p>
      </w:tc>
    </w:tr>
  </w:tbl>
  <w:p w:rsidR="004A4D27" w:rsidRDefault="004A4D27" w:rsidP="00CD777B">
    <w:pPr>
      <w:pStyle w:val="Header"/>
      <w:tabs>
        <w:tab w:val="clear" w:pos="4252"/>
        <w:tab w:val="clear" w:pos="8504"/>
        <w:tab w:val="left" w:pos="1431"/>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12473D"/>
    <w:multiLevelType w:val="hybridMultilevel"/>
    <w:tmpl w:val="638C67BE"/>
    <w:lvl w:ilvl="0" w:tplc="13422024">
      <w:start w:val="1"/>
      <w:numFmt w:val="bullet"/>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3E29674C"/>
    <w:multiLevelType w:val="hybridMultilevel"/>
    <w:tmpl w:val="5DC8370E"/>
    <w:lvl w:ilvl="0" w:tplc="0C0A000D">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75F519FD"/>
    <w:multiLevelType w:val="hybridMultilevel"/>
    <w:tmpl w:val="0C9E6EE0"/>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5"/>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00F2"/>
    <w:rsid w:val="0005764E"/>
    <w:rsid w:val="000A119E"/>
    <w:rsid w:val="001026A6"/>
    <w:rsid w:val="0017746A"/>
    <w:rsid w:val="00195D09"/>
    <w:rsid w:val="001F087B"/>
    <w:rsid w:val="00214F4F"/>
    <w:rsid w:val="002C3A81"/>
    <w:rsid w:val="002C5AB8"/>
    <w:rsid w:val="002F3E13"/>
    <w:rsid w:val="003D0C5D"/>
    <w:rsid w:val="003D40A2"/>
    <w:rsid w:val="00457345"/>
    <w:rsid w:val="004A4D27"/>
    <w:rsid w:val="005300F2"/>
    <w:rsid w:val="00591D37"/>
    <w:rsid w:val="005D7665"/>
    <w:rsid w:val="005E3429"/>
    <w:rsid w:val="005F16DB"/>
    <w:rsid w:val="0061366C"/>
    <w:rsid w:val="00614C6D"/>
    <w:rsid w:val="0063260B"/>
    <w:rsid w:val="006C57AE"/>
    <w:rsid w:val="00735465"/>
    <w:rsid w:val="00736238"/>
    <w:rsid w:val="00740018"/>
    <w:rsid w:val="007567EA"/>
    <w:rsid w:val="007B1E1C"/>
    <w:rsid w:val="007D74DA"/>
    <w:rsid w:val="00810E55"/>
    <w:rsid w:val="00827674"/>
    <w:rsid w:val="00854B50"/>
    <w:rsid w:val="0091567B"/>
    <w:rsid w:val="009479D4"/>
    <w:rsid w:val="009831A2"/>
    <w:rsid w:val="009E0A4A"/>
    <w:rsid w:val="00A01B9E"/>
    <w:rsid w:val="00A11760"/>
    <w:rsid w:val="00A63CC0"/>
    <w:rsid w:val="00AB571C"/>
    <w:rsid w:val="00AE394B"/>
    <w:rsid w:val="00B353CF"/>
    <w:rsid w:val="00B432A7"/>
    <w:rsid w:val="00B44FE1"/>
    <w:rsid w:val="00B52D27"/>
    <w:rsid w:val="00C0221A"/>
    <w:rsid w:val="00C31AFC"/>
    <w:rsid w:val="00CA56CE"/>
    <w:rsid w:val="00CB71CA"/>
    <w:rsid w:val="00CD777B"/>
    <w:rsid w:val="00CE456E"/>
    <w:rsid w:val="00CF003D"/>
    <w:rsid w:val="00D23AFD"/>
    <w:rsid w:val="00D97EB9"/>
    <w:rsid w:val="00E16F66"/>
    <w:rsid w:val="00E53327"/>
    <w:rsid w:val="00EE0BD2"/>
    <w:rsid w:val="00F107B5"/>
    <w:rsid w:val="00F25A34"/>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0F2"/>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0F2"/>
    <w:pPr>
      <w:tabs>
        <w:tab w:val="center" w:pos="4252"/>
        <w:tab w:val="right" w:pos="8504"/>
      </w:tabs>
      <w:spacing w:after="0" w:line="240" w:lineRule="auto"/>
    </w:pPr>
  </w:style>
  <w:style w:type="character" w:customStyle="1" w:styleId="HeaderChar">
    <w:name w:val="Header Char"/>
    <w:basedOn w:val="DefaultParagraphFont"/>
    <w:link w:val="Header"/>
    <w:uiPriority w:val="99"/>
    <w:locked/>
    <w:rsid w:val="005300F2"/>
    <w:rPr>
      <w:rFonts w:ascii="Calibri" w:hAnsi="Calibri" w:cs="Times New Roman"/>
    </w:rPr>
  </w:style>
  <w:style w:type="paragraph" w:styleId="Footer">
    <w:name w:val="footer"/>
    <w:basedOn w:val="Normal"/>
    <w:link w:val="FooterChar"/>
    <w:uiPriority w:val="99"/>
    <w:rsid w:val="00CD777B"/>
    <w:pPr>
      <w:tabs>
        <w:tab w:val="center" w:pos="4252"/>
        <w:tab w:val="right" w:pos="8504"/>
      </w:tabs>
    </w:pPr>
  </w:style>
  <w:style w:type="character" w:customStyle="1" w:styleId="FooterChar">
    <w:name w:val="Footer Char"/>
    <w:basedOn w:val="DefaultParagraphFont"/>
    <w:link w:val="Footer"/>
    <w:uiPriority w:val="99"/>
    <w:semiHidden/>
    <w:locked/>
    <w:rsid w:val="00C31AFC"/>
    <w:rPr>
      <w:rFonts w:cs="Times New Roman"/>
      <w:lang w:eastAsia="en-US"/>
    </w:rPr>
  </w:style>
  <w:style w:type="character" w:styleId="PageNumber">
    <w:name w:val="page number"/>
    <w:basedOn w:val="DefaultParagraphFont"/>
    <w:uiPriority w:val="99"/>
    <w:rsid w:val="005D766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9.emf"/><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TotalTime>
  <Pages>7</Pages>
  <Words>1197</Words>
  <Characters>6588</Characters>
  <Application>Microsoft Office Outlook</Application>
  <DocSecurity>0</DocSecurity>
  <Lines>0</Lines>
  <Paragraphs>0</Paragraphs>
  <ScaleCrop>false</ScaleCrop>
  <Company>INFORMATICA AYUNTAMIENTO MADRID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Coordinación General de Contratación y Política Financiera</dc:title>
  <dc:subject/>
  <dc:creator>MCS006</dc:creator>
  <cp:keywords/>
  <dc:description/>
  <cp:lastModifiedBy>IAM</cp:lastModifiedBy>
  <cp:revision>3</cp:revision>
  <cp:lastPrinted>2019-11-07T11:08:00Z</cp:lastPrinted>
  <dcterms:created xsi:type="dcterms:W3CDTF">2020-01-27T12:06:00Z</dcterms:created>
  <dcterms:modified xsi:type="dcterms:W3CDTF">2020-01-27T12:30:00Z</dcterms:modified>
</cp:coreProperties>
</file>